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DE" w:rsidRPr="009F26DE" w:rsidRDefault="009F26DE" w:rsidP="009F26DE">
      <w:pPr>
        <w:pStyle w:val="1"/>
      </w:pPr>
      <w:hyperlink r:id="rId6" w:history="1">
        <w:r w:rsidRPr="009F26DE">
          <w:t xml:space="preserve">Инвестпроект: Новосибирская область, </w:t>
        </w:r>
        <w:r>
          <w:t xml:space="preserve">  </w:t>
        </w:r>
        <w:r w:rsidRPr="009F26DE">
          <w:t>часть 1</w:t>
        </w:r>
      </w:hyperlink>
    </w:p>
    <w:p w:rsidR="009F26DE" w:rsidRDefault="009F26DE" w:rsidP="009F26DE">
      <w:pPr>
        <w:pStyle w:val="a3"/>
      </w:pPr>
      <w:r w:rsidRPr="009F26DE">
        <w:t> </w:t>
      </w:r>
      <w:hyperlink r:id="rId7" w:history="1">
        <w:r w:rsidRPr="009F26DE">
          <w:t>Дарья Балмашнова</w:t>
        </w:r>
      </w:hyperlink>
      <w:r>
        <w:t> </w:t>
      </w:r>
    </w:p>
    <w:p w:rsidR="009F26DE" w:rsidRPr="009F26DE" w:rsidRDefault="009F26DE" w:rsidP="009F26DE">
      <w:pPr>
        <w:pStyle w:val="a3"/>
      </w:pPr>
    </w:p>
    <w:p w:rsidR="009F26DE" w:rsidRPr="009F26DE" w:rsidRDefault="009F26DE" w:rsidP="009F26DE">
      <w:pPr>
        <w:pStyle w:val="a3"/>
      </w:pPr>
      <w:r w:rsidRPr="009F26DE">
        <w:t>Новосибирская область – один из крупнейших и быстро развивающихся экономических центров страны. С того момента, как важность инноваций наконец стала очевидна, научные институты стали получать долгожданную поддержку от государства, что подстегнуло развитие региона. Несмотря на небольшую площадь и достаточную удаленность от центра, по размеру ВРП Новосибирская область занимает 20 место по стране, и правительство делает все, чтобы регион развивался еще активнее.</w:t>
      </w:r>
    </w:p>
    <w:p w:rsidR="009F26DE" w:rsidRPr="009F26DE" w:rsidRDefault="009F26DE" w:rsidP="009F26DE">
      <w:pPr>
        <w:pStyle w:val="a3"/>
      </w:pPr>
      <w:r w:rsidRPr="009F26DE">
        <w:t>Для удобства бизнеса в регионе активно строятся и развиваются промышленные и научные парки, которые предоставляют своим резидентам всю инфраструктуру, а зачастую и готовые здания со всем необходимым оборудованием, что сильно сокращает время развертывания проектов и делает регион соблазнительным в глазах инвесторов, что подтверждают высокие позиции в различных рейтингах. Также в области активно поддерживают кластерную самоорганизацию бизнеса и согласовывают создание особой экономической зоны.</w:t>
      </w:r>
    </w:p>
    <w:p w:rsidR="009F26DE" w:rsidRPr="009F26DE" w:rsidRDefault="009F26DE" w:rsidP="009F26DE">
      <w:pPr>
        <w:pStyle w:val="a3"/>
        <w:rPr>
          <w:rFonts w:ascii="Playfair Display" w:hAnsi="Playfair Display"/>
        </w:rPr>
      </w:pPr>
      <w:r w:rsidRPr="009F26DE">
        <w:rPr>
          <w:bdr w:val="none" w:sz="0" w:space="0" w:color="auto" w:frame="1"/>
        </w:rPr>
        <w:t>Обзор региона</w:t>
      </w:r>
    </w:p>
    <w:p w:rsidR="009F26DE" w:rsidRPr="009F26DE" w:rsidRDefault="009F26DE" w:rsidP="009F26DE">
      <w:pPr>
        <w:pStyle w:val="a3"/>
      </w:pPr>
      <w:r w:rsidRPr="009F26DE">
        <w:t>Площадь Новосибирской области составляет 178 тысяч квадратных километров – это 4,08% территории СФО. Административно-территориальное деление региона составляют 5 городских округов, 30 муниципальных районов и 455 поселений. Административный центр Новосибирской области – город Новосибирск – является также административным центром Сибирского федерального округа, а также третьим по численности населения городом в России. Чуть более половины всего населения региона – 1,63 миллиона человек – живет в его столице. Всего в области живет 1,91% населения России, или 16,8% населения СФО. Регион генерирует 1.38% ВРП России или 14,86% Сибири.</w:t>
      </w:r>
    </w:p>
    <w:p w:rsidR="009F26DE" w:rsidRPr="009F26DE" w:rsidRDefault="009F26DE" w:rsidP="009F26DE">
      <w:pPr>
        <w:pStyle w:val="a3"/>
      </w:pPr>
      <w:r w:rsidRPr="009F26DE">
        <w:t>Экономика Новосибирской области сильно диверсифицирована, что нетипично для регионов Сибири. 21% ВРП приходится на промышленное производство, 16,8% занимает торговля, 12,4% – операции с недвижимостью, 11,2% – логистика, а 6,4% занимает научная деятельность. Несмотря на меньший процент, локомотив экономического роста здесь – наука и основанное на высокотехнологичных разработках промышленное производство. Соответственно, доступность инфраструктуры для таких производств – приоритет развития региона. Регион стабильно входит в высшую группу рейтинга инновационного развития субъектов РФ.</w:t>
      </w:r>
    </w:p>
    <w:p w:rsidR="009F26DE" w:rsidRPr="009F26DE" w:rsidRDefault="009F26DE" w:rsidP="009F26DE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>
        <w:rPr>
          <w:rFonts w:ascii="inherit" w:eastAsia="Times New Roman" w:hAnsi="inherit" w:cs="Times New Roman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5985106" cy="3970020"/>
            <wp:effectExtent l="0" t="0" r="0" b="0"/>
            <wp:docPr id="7" name="Рисунок 7" descr="https://sibmix.com/wp-content/uploads/2024/03/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bmix.com/wp-content/uploads/2024/03/11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106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6DE" w:rsidRPr="009F26DE" w:rsidRDefault="009F26DE" w:rsidP="009F26DE">
      <w:pPr>
        <w:pStyle w:val="a3"/>
      </w:pPr>
      <w:r w:rsidRPr="009F26DE">
        <w:t>Мозг региона – Новосибирский научный центр, наследство Сибирского отделения РАН. Сейчас на его основе создается современный научно-технологический комплекс мирового уровня – Академгородок 2.0. Новосибирские ученые составляют 5% всего российского научного сообщества и почти половину числа ученых в Сибири. В 2018 году Новосибирскую и Томскую области выбрали для пилотного запуска программы эффективного развития территорий с высокой концентрацией научно-инновационного потенциала. Акцент программы сделан на кооперацию научно-исследовательских институтов и промышленных предприятий.</w:t>
      </w:r>
    </w:p>
    <w:p w:rsidR="009F26DE" w:rsidRPr="009F26DE" w:rsidRDefault="009F26DE" w:rsidP="009F26DE">
      <w:pPr>
        <w:pStyle w:val="a3"/>
      </w:pPr>
      <w:r w:rsidRPr="009F26DE">
        <w:lastRenderedPageBreak/>
        <w:t>Удельный вес Новосибирской области в объеме отгруженной промышленной продукции РФ составляет 1%, в СФО – 9,6%. Ведущие отрасли промышленности – машиностроение и металлообработка. Также развиты пищевая промышленность, химическая, промышленность строительных материалов. Предприятия региона активно работают на рынке высокотехнологичной продукции.</w:t>
      </w:r>
    </w:p>
    <w:p w:rsidR="009F26DE" w:rsidRPr="009F26DE" w:rsidRDefault="009F26DE" w:rsidP="009F26DE">
      <w:pPr>
        <w:pStyle w:val="a3"/>
      </w:pPr>
      <w:r w:rsidRPr="009F26DE">
        <w:t xml:space="preserve">В регионе функционирует крупнейший в России </w:t>
      </w:r>
      <w:r w:rsidRPr="009F26DE">
        <w:rPr>
          <w:b/>
        </w:rPr>
        <w:t>Сибирский федеральный научный центр агробиотехнологий.</w:t>
      </w:r>
      <w:r w:rsidRPr="009F26DE">
        <w:t> Хотя доля сельского хозяйства в структуре ВРП региона составляет только 4,9%, Новосибирская область входит в десятку крупнейших сельхозпроизводителей России. По площади посева зерновых Новосибирская область занимает третье место среди регионов Сибирского федерального округа, а по валовому сбору зерна – второе место. Также второе место регион занимает по производству скота, птицы и молока.</w:t>
      </w:r>
    </w:p>
    <w:p w:rsidR="009F26DE" w:rsidRPr="009F26DE" w:rsidRDefault="009F26DE" w:rsidP="009F26DE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>
        <w:rPr>
          <w:rFonts w:ascii="inherit" w:eastAsia="Times New Roman" w:hAnsi="inherit" w:cs="Times New Roman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4759866" cy="2636520"/>
            <wp:effectExtent l="0" t="0" r="3175" b="0"/>
            <wp:docPr id="6" name="Рисунок 6" descr="https://sibmix.com/wp-content/uploads/2024/03/%D0%A1%D0%BD%D0%B8%D0%BC%D0%BE%D0%BA-1-1024x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bmix.com/wp-content/uploads/2024/03/%D0%A1%D0%BD%D0%B8%D0%BC%D0%BE%D0%BA-1-1024x56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373" cy="263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6DE" w:rsidRPr="009F26DE" w:rsidRDefault="009F26DE" w:rsidP="009F26DE">
      <w:pPr>
        <w:pStyle w:val="a3"/>
      </w:pPr>
      <w:r w:rsidRPr="009F26DE">
        <w:t>Транспорт, логистика и торговля не случайно занимают практически треть всей экономической деятельности в регионе. Новосибирская область – ключевой транспортный узел, где пересекаются железнодорожные, автомобильные, авиационные и речные маршруты. Аэропорт Толмачёво – крупнейший за Уралом, а потому используется как транзитная точка на линиях между Европой и Азией. Новосибирская область – лидер среди регионов СФО по обороту розничной торговли.</w:t>
      </w:r>
    </w:p>
    <w:p w:rsidR="009F26DE" w:rsidRPr="009F26DE" w:rsidRDefault="009F26DE" w:rsidP="009F26DE">
      <w:pPr>
        <w:pStyle w:val="a3"/>
      </w:pPr>
      <w:r w:rsidRPr="009F26DE">
        <w:t>Удачное географическое положение способствует и внешнеторговым отношениям. Предприятия региона торгуют с партнерами из 132 стран. 56% экспорта составляют топливо-энергетические товары, 19% – машиностроительная продукция, оборудование и транспорт. 14% приходится на продовольствие, 5% на химическую продукцию. Импортируют в основном оборудование (53%), металлы (13%) и химическую продукцию (14%), а также одежду и обувь (7%) и продукты (5%).</w:t>
      </w:r>
    </w:p>
    <w:p w:rsidR="009F26DE" w:rsidRPr="009F26DE" w:rsidRDefault="009F26DE" w:rsidP="009F26DE">
      <w:pPr>
        <w:pStyle w:val="a3"/>
      </w:pPr>
      <w:r w:rsidRPr="009F26DE">
        <w:t>Новосибирская область – лидер в России по степени интенсивности конкуренции и состоянию конкурентной среды. А по числу малых предприятий регион занимает восьмое место в Российской Федерации, здесь сосредоточено более 20% малых предприятий СФО. Они генерируют половину оборота от всех организаций региона, численность работников – 35% от всех занятых региона.</w:t>
      </w:r>
    </w:p>
    <w:p w:rsidR="009F26DE" w:rsidRPr="009F26DE" w:rsidRDefault="009F26DE" w:rsidP="009F26DE">
      <w:pPr>
        <w:pStyle w:val="a3"/>
      </w:pPr>
      <w:r w:rsidRPr="009F26DE">
        <w:rPr>
          <w:b/>
          <w:bdr w:val="none" w:sz="0" w:space="0" w:color="auto" w:frame="1"/>
        </w:rPr>
        <w:t>Топ-10 компаний:</w:t>
      </w:r>
    </w:p>
    <w:p w:rsidR="009F26DE" w:rsidRPr="009F26DE" w:rsidRDefault="009F26DE" w:rsidP="009F26DE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9F26DE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НПК «Катрен»</w:t>
      </w:r>
    </w:p>
    <w:p w:rsidR="009F26DE" w:rsidRPr="009F26DE" w:rsidRDefault="009F26DE" w:rsidP="009F26DE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9F26DE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Авиакомпания «Сибирь»</w:t>
      </w:r>
    </w:p>
    <w:p w:rsidR="009F26DE" w:rsidRPr="009F26DE" w:rsidRDefault="009F26DE" w:rsidP="009F26DE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9F26DE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Разрез Колыванский</w:t>
      </w:r>
    </w:p>
    <w:p w:rsidR="009F26DE" w:rsidRPr="009F26DE" w:rsidRDefault="009F26DE" w:rsidP="009F26DE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9F26DE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Финансовый Консалтинг</w:t>
      </w:r>
    </w:p>
    <w:p w:rsidR="009F26DE" w:rsidRPr="009F26DE" w:rsidRDefault="009F26DE" w:rsidP="009F26DE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9F26DE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Разрез Восточный</w:t>
      </w:r>
    </w:p>
    <w:p w:rsidR="009F26DE" w:rsidRPr="009F26DE" w:rsidRDefault="009F26DE" w:rsidP="009F26DE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9F26DE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Новосибирскэнергосбыт</w:t>
      </w:r>
    </w:p>
    <w:p w:rsidR="009F26DE" w:rsidRPr="009F26DE" w:rsidRDefault="009F26DE" w:rsidP="009F26DE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9F26DE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СГК-Новосибирск</w:t>
      </w:r>
    </w:p>
    <w:p w:rsidR="009F26DE" w:rsidRPr="009F26DE" w:rsidRDefault="009F26DE" w:rsidP="009F26DE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9F26DE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Адс «Кит»</w:t>
      </w:r>
    </w:p>
    <w:p w:rsidR="009F26DE" w:rsidRPr="009F26DE" w:rsidRDefault="009F26DE" w:rsidP="009F26DE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9F26DE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Восточная Техника</w:t>
      </w:r>
    </w:p>
    <w:p w:rsidR="009F26DE" w:rsidRPr="009F26DE" w:rsidRDefault="009F26DE" w:rsidP="009F26DE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9F26DE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Агроресурсы</w:t>
      </w:r>
    </w:p>
    <w:p w:rsidR="009F26DE" w:rsidRPr="009F26DE" w:rsidRDefault="009F26DE" w:rsidP="009F26DE">
      <w:pPr>
        <w:pStyle w:val="a3"/>
        <w:rPr>
          <w:rFonts w:ascii="Playfair Display" w:hAnsi="Playfair Display"/>
          <w:b/>
        </w:rPr>
      </w:pPr>
      <w:r w:rsidRPr="009F26DE">
        <w:rPr>
          <w:b/>
          <w:bdr w:val="none" w:sz="0" w:space="0" w:color="auto" w:frame="1"/>
        </w:rPr>
        <w:t>Меры поддержки инвесторов</w:t>
      </w:r>
    </w:p>
    <w:p w:rsidR="009F26DE" w:rsidRPr="009F26DE" w:rsidRDefault="009F26DE" w:rsidP="009F26DE">
      <w:pPr>
        <w:pStyle w:val="a3"/>
      </w:pPr>
      <w:r w:rsidRPr="009F26DE">
        <w:t>На территории региона расположены две территории опережающего экономического развития и девять технопарков. Также региональный Минэк прорабатывает вопрос создания особой экономической зоны возле Новосибирска.</w:t>
      </w:r>
    </w:p>
    <w:p w:rsidR="009F26DE" w:rsidRPr="009F26DE" w:rsidRDefault="009F26DE" w:rsidP="009F26DE">
      <w:pPr>
        <w:pStyle w:val="a3"/>
      </w:pPr>
      <w:r w:rsidRPr="009F26DE">
        <w:t>Обе ТОР функционируют в моногородах Горный и Линево. Их резиденты полностью освобождаются от выплаты налогов на землю и имущество.  Налог на прибыль в первые пять лет нулевой, затем 13%. Страховые взносы снижены до 7,6% в первые 10 лет. Также государственный фонд субсидирует до 95% расходов на инфраструктуру, и выдает льготные кредиты. Сейчас в Линёво четыре резидента, в Горном – пять, только средний и малый бизнес. Свободных участков на карте не отмечено.</w:t>
      </w:r>
    </w:p>
    <w:p w:rsidR="009F26DE" w:rsidRPr="009F26DE" w:rsidRDefault="009F26DE" w:rsidP="009F26DE">
      <w:pPr>
        <w:pStyle w:val="a3"/>
      </w:pPr>
      <w:r w:rsidRPr="009F26DE">
        <w:rPr>
          <w:b/>
          <w:bdr w:val="none" w:sz="0" w:space="0" w:color="auto" w:frame="1"/>
        </w:rPr>
        <w:t>Академпарк. </w:t>
      </w:r>
      <w:r w:rsidRPr="009F26DE">
        <w:t xml:space="preserve">Научно-технологический парк Новосибирского Академгородка – 120 тысяч квадратных метров, оснащенных современным оборудованием и технологическими сервисами, необходимыми для создания новых продуктов. Работает по четырем направлениям: информационные технологии, приборостроение и наукоемкое оборудование, биотехнологии и биомедицина, нанотехнологии и новые </w:t>
      </w:r>
      <w:r w:rsidRPr="009F26DE">
        <w:lastRenderedPageBreak/>
        <w:t>материалы. Парк и его резиденты, которых насчитывается уже 333, тесно сотрудничают как с университетом и академической наукой, так и с бизнесом.</w:t>
      </w:r>
    </w:p>
    <w:p w:rsidR="009F26DE" w:rsidRPr="009F26DE" w:rsidRDefault="009F26DE" w:rsidP="009F26DE">
      <w:pPr>
        <w:pStyle w:val="a3"/>
      </w:pPr>
      <w:r w:rsidRPr="009F26DE">
        <w:t>Отдельно функционирует </w:t>
      </w:r>
      <w:r w:rsidRPr="009F26DE">
        <w:rPr>
          <w:b/>
          <w:bdr w:val="none" w:sz="0" w:space="0" w:color="auto" w:frame="1"/>
        </w:rPr>
        <w:t>кампус Академпарка</w:t>
      </w:r>
      <w:r w:rsidRPr="009F26DE">
        <w:t>. Это будущая инвестплощадка для размещения производственных компаний. Сейчас здесь закончили прокладывать инженерную инфраструктуру и приступили к возведению производственной. Запланировано возведение 11 административно-лабораторных зданий и производственных объектов.</w:t>
      </w:r>
    </w:p>
    <w:p w:rsidR="009F26DE" w:rsidRPr="009F26DE" w:rsidRDefault="009F26DE" w:rsidP="009F26DE">
      <w:pPr>
        <w:pStyle w:val="a3"/>
      </w:pPr>
      <w:r w:rsidRPr="009F26DE">
        <w:rPr>
          <w:b/>
          <w:bdr w:val="none" w:sz="0" w:space="0" w:color="auto" w:frame="1"/>
        </w:rPr>
        <w:t>Биотехнопарк Кольцово</w:t>
      </w:r>
      <w:r w:rsidRPr="009F26DE">
        <w:t>. Научно-технологический парк в сфере биотехнологий аккумулирует компании, занимающиеся исследованиями, разработкой и производством в сфере биотехнологий и смежных областях. Технопарк построен в Кольцово – первом биотехнологическом наукограде, появившимся вокруг научного центра вирусологии и биотехнологии «Вектор». Площадь парка – 20 гектаров. В парке 12 резидентов.</w:t>
      </w:r>
    </w:p>
    <w:p w:rsidR="009F26DE" w:rsidRPr="009F26DE" w:rsidRDefault="009F26DE" w:rsidP="009F26DE">
      <w:pPr>
        <w:pStyle w:val="a3"/>
      </w:pPr>
      <w:r w:rsidRPr="009F26DE">
        <w:rPr>
          <w:b/>
          <w:bdr w:val="none" w:sz="0" w:space="0" w:color="auto" w:frame="1"/>
        </w:rPr>
        <w:t>Промышленно-логистический парк Новосибирской области. </w:t>
      </w:r>
      <w:r w:rsidRPr="009F26DE">
        <w:t>Крупнейший в Сибири и один из крупнейших в РФ индустриальный парк. Его площадь – 1059 гектаров. Парк обладает отличной транспортной доступностью и находится на пересечении ключевых транспортных магистралей в 12 километрах от Новосибирска. На его территории работает 35 резидентов.</w:t>
      </w:r>
    </w:p>
    <w:p w:rsidR="009F26DE" w:rsidRPr="009F26DE" w:rsidRDefault="009F26DE" w:rsidP="009F26DE">
      <w:pPr>
        <w:pStyle w:val="a3"/>
      </w:pPr>
      <w:r w:rsidRPr="009F26DE">
        <w:rPr>
          <w:b/>
          <w:bdr w:val="none" w:sz="0" w:space="0" w:color="auto" w:frame="1"/>
        </w:rPr>
        <w:t>Промышленно-логистический парк «Восточный» </w:t>
      </w:r>
      <w:r w:rsidRPr="009F26DE">
        <w:t>создавался под уже существующие проекты резидентов и по их инициативе. Среди его инициаторов — «Союз транспортников, экспедиторов и логистов Сибири». Парк выгодно расположен по отношению к трем областным центрам – Новосибирску, Томску, Кемерову.</w:t>
      </w:r>
    </w:p>
    <w:p w:rsidR="009F26DE" w:rsidRPr="009F26DE" w:rsidRDefault="009F26DE" w:rsidP="009F26DE">
      <w:pPr>
        <w:pStyle w:val="a3"/>
      </w:pPr>
      <w:r w:rsidRPr="009F26DE">
        <w:rPr>
          <w:b/>
          <w:bdr w:val="none" w:sz="0" w:space="0" w:color="auto" w:frame="1"/>
        </w:rPr>
        <w:t>Промышленно-логистический парк «Южный» </w:t>
      </w:r>
      <w:r w:rsidRPr="009F26DE">
        <w:t>– совсем новый. В сентябре 2023 года первый резидент – компания «Маслов» – начал строительство производственного комплекса по переработке масличных культур. Инфраструктура также в процессе создания. К сентябрю 2024 года первую очередь завода должны ввести в эксплуатацию.</w:t>
      </w:r>
    </w:p>
    <w:p w:rsidR="009F26DE" w:rsidRPr="009F26DE" w:rsidRDefault="009F26DE" w:rsidP="009F26DE">
      <w:pPr>
        <w:pStyle w:val="a3"/>
      </w:pPr>
      <w:r w:rsidRPr="009F26DE">
        <w:rPr>
          <w:b/>
          <w:bdr w:val="none" w:sz="0" w:space="0" w:color="auto" w:frame="1"/>
        </w:rPr>
        <w:t>Экопромышленный парк Российского экологического оператора. </w:t>
      </w:r>
      <w:r w:rsidRPr="009F26DE">
        <w:t>Один из восьми пилотных экопромышленных парков, резидентами которых станут предприятия по переработке отходов. Площадь парка – 8,7 гектара, также строится офисное здание для административного персонала. Три резидента уже запланированы: это предприятия по переработке стекла, строительного мусора и органических производственных отходов. Запуск экопарка запланирован на 2024 год.</w:t>
      </w:r>
    </w:p>
    <w:p w:rsidR="009F26DE" w:rsidRPr="009F26DE" w:rsidRDefault="009F26DE" w:rsidP="009F26DE">
      <w:pPr>
        <w:pStyle w:val="a3"/>
      </w:pPr>
      <w:r w:rsidRPr="009F26DE">
        <w:rPr>
          <w:b/>
          <w:bdr w:val="none" w:sz="0" w:space="0" w:color="auto" w:frame="1"/>
        </w:rPr>
        <w:t>Индустриальный парк «Экран». </w:t>
      </w:r>
      <w:r w:rsidRPr="009F26DE">
        <w:t>Частный парк, якорным резидентом которого является компания «Экран-оптические системы», специализирующаяся на разработке электронно-оптических преобразователей. Общая площадь парка – 30 гектаров.</w:t>
      </w:r>
    </w:p>
    <w:p w:rsidR="009F26DE" w:rsidRPr="009F26DE" w:rsidRDefault="009F26DE" w:rsidP="009F26DE">
      <w:pPr>
        <w:pStyle w:val="a3"/>
      </w:pPr>
      <w:r w:rsidRPr="009F26DE">
        <w:t>Еще один частный парк – </w:t>
      </w:r>
      <w:r w:rsidRPr="009F26DE">
        <w:rPr>
          <w:b/>
          <w:bdr w:val="none" w:sz="0" w:space="0" w:color="auto" w:frame="1"/>
        </w:rPr>
        <w:t>«Новосиб».</w:t>
      </w:r>
      <w:r w:rsidRPr="009F26DE">
        <w:t> Его создали структуры «Новосибирского патронного завода» на площадке завода низковольтной аппаратуры, который обанкротился в 90-е годы.</w:t>
      </w:r>
    </w:p>
    <w:p w:rsidR="009F26DE" w:rsidRPr="009F26DE" w:rsidRDefault="009F26DE" w:rsidP="009F26DE">
      <w:pPr>
        <w:pStyle w:val="a3"/>
      </w:pPr>
      <w:r w:rsidRPr="009F26DE">
        <w:t>В проекте создание еще минимум трёх объектов: логопарка «ПФО Север», индустриальных парков «PNK Парк Пашино» и «Такот Толмачево».</w:t>
      </w:r>
    </w:p>
    <w:p w:rsidR="009F26DE" w:rsidRPr="009F26DE" w:rsidRDefault="009F26DE" w:rsidP="009F26DE">
      <w:pPr>
        <w:shd w:val="clear" w:color="auto" w:fill="FFFFFF"/>
        <w:spacing w:before="144" w:after="144" w:line="240" w:lineRule="auto"/>
        <w:textAlignment w:val="baseline"/>
        <w:outlineLvl w:val="2"/>
        <w:rPr>
          <w:rFonts w:ascii="Playfair Display" w:eastAsia="Times New Roman" w:hAnsi="Playfair Display" w:cs="Times New Roman"/>
          <w:b/>
          <w:bCs/>
          <w:color w:val="111111"/>
          <w:sz w:val="36"/>
          <w:szCs w:val="36"/>
          <w:lang w:eastAsia="ru-RU"/>
        </w:rPr>
      </w:pPr>
      <w:r w:rsidRPr="009F26DE">
        <w:rPr>
          <w:rFonts w:ascii="Playfair Display" w:eastAsia="Times New Roman" w:hAnsi="Playfair Display" w:cs="Times New Roman"/>
          <w:b/>
          <w:bCs/>
          <w:color w:val="111111"/>
          <w:sz w:val="36"/>
          <w:szCs w:val="36"/>
          <w:lang w:eastAsia="ru-RU"/>
        </w:rPr>
        <w:t>Новосибирск – территория кластеров</w:t>
      </w:r>
    </w:p>
    <w:p w:rsidR="009F26DE" w:rsidRPr="009F26DE" w:rsidRDefault="009F26DE" w:rsidP="009F26DE">
      <w:pPr>
        <w:pStyle w:val="a3"/>
      </w:pPr>
      <w:r w:rsidRPr="009F26DE">
        <w:t>Кроме официальных институтов поддержки, в Новосибирской области также формируется кластерное развитие. В стратегии развития региона именно на этот механизм возлагают большие надежды. Кластерные объединения – форма кооперации бизнесов, когда несколько компаний одной или смежных отраслей создают общую инфраструктуру и логистические цепочки, тем самым снижая затраты и распределяя риски.</w:t>
      </w:r>
    </w:p>
    <w:p w:rsidR="009F26DE" w:rsidRPr="009F26DE" w:rsidRDefault="009F26DE" w:rsidP="009F26DE">
      <w:pPr>
        <w:pStyle w:val="a3"/>
      </w:pPr>
      <w:r w:rsidRPr="009F26DE">
        <w:t>На данный момент институционально оформлены:</w:t>
      </w:r>
    </w:p>
    <w:p w:rsidR="009F26DE" w:rsidRPr="009F26DE" w:rsidRDefault="009F26DE" w:rsidP="009F26DE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9F26DE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Научно-производственный кластер «Сибирский наукополис»</w:t>
      </w:r>
    </w:p>
    <w:p w:rsidR="009F26DE" w:rsidRPr="009F26DE" w:rsidRDefault="009F26DE" w:rsidP="009F26DE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Times New Roman"/>
          <w:b/>
          <w:color w:val="555555"/>
          <w:sz w:val="20"/>
          <w:szCs w:val="20"/>
          <w:lang w:eastAsia="ru-RU"/>
        </w:rPr>
      </w:pPr>
      <w:r w:rsidRPr="009F26DE">
        <w:rPr>
          <w:rFonts w:ascii="inherit" w:eastAsia="Times New Roman" w:hAnsi="inherit" w:cs="Times New Roman"/>
          <w:b/>
          <w:color w:val="555555"/>
          <w:sz w:val="20"/>
          <w:szCs w:val="20"/>
          <w:lang w:eastAsia="ru-RU"/>
        </w:rPr>
        <w:t>Первый зерновой кластер</w:t>
      </w:r>
    </w:p>
    <w:p w:rsidR="009F26DE" w:rsidRPr="009F26DE" w:rsidRDefault="009F26DE" w:rsidP="009F26DE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9F26DE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Биофармацевтический кластер</w:t>
      </w:r>
    </w:p>
    <w:p w:rsidR="009F26DE" w:rsidRPr="009F26DE" w:rsidRDefault="009F26DE" w:rsidP="009F26DE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9F26DE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Кластер «Цифровая энергетика»</w:t>
      </w:r>
    </w:p>
    <w:p w:rsidR="009F26DE" w:rsidRPr="009F26DE" w:rsidRDefault="009F26DE" w:rsidP="009F26DE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9F26DE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Кластер Информационных и биофармацевтических технологий</w:t>
      </w:r>
    </w:p>
    <w:p w:rsidR="009F26DE" w:rsidRPr="009F26DE" w:rsidRDefault="009F26DE" w:rsidP="009F26DE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9F26DE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Также формируются:</w:t>
      </w:r>
    </w:p>
    <w:p w:rsidR="009F26DE" w:rsidRPr="009F26DE" w:rsidRDefault="009F26DE" w:rsidP="009F26DE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9F26DE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Медико-технологический кластер,</w:t>
      </w:r>
    </w:p>
    <w:p w:rsidR="009F26DE" w:rsidRPr="009F26DE" w:rsidRDefault="009F26DE" w:rsidP="009F26DE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9F26DE">
        <w:rPr>
          <w:rFonts w:ascii="inherit" w:eastAsia="Times New Roman" w:hAnsi="inherit" w:cs="Times New Roman"/>
          <w:b/>
          <w:color w:val="555555"/>
          <w:sz w:val="20"/>
          <w:szCs w:val="20"/>
          <w:lang w:eastAsia="ru-RU"/>
        </w:rPr>
        <w:t>Кластер производителей сельскохозяйственной техники</w:t>
      </w:r>
      <w:r w:rsidRPr="009F26DE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,</w:t>
      </w:r>
    </w:p>
    <w:p w:rsidR="009F26DE" w:rsidRPr="009F26DE" w:rsidRDefault="009F26DE" w:rsidP="009F26DE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9F26DE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Инновационный кластер биотехнологий и биомедицины,</w:t>
      </w:r>
    </w:p>
    <w:p w:rsidR="009F26DE" w:rsidRPr="009F26DE" w:rsidRDefault="009F26DE" w:rsidP="009F26DE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9F26DE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Сибирский металлурго-машиностроительный кластер цифровых аддитивных технологий и производств,</w:t>
      </w:r>
    </w:p>
    <w:p w:rsidR="009F26DE" w:rsidRPr="009F26DE" w:rsidRDefault="009F26DE" w:rsidP="009F26DE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9F26DE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Кластер систем хранения энергии</w:t>
      </w:r>
    </w:p>
    <w:p w:rsidR="009F26DE" w:rsidRPr="009F26DE" w:rsidRDefault="009F26DE" w:rsidP="009F26DE">
      <w:pPr>
        <w:numPr>
          <w:ilvl w:val="0"/>
          <w:numId w:val="3"/>
        </w:numPr>
        <w:shd w:val="clear" w:color="auto" w:fill="FFFFFF"/>
        <w:spacing w:after="150" w:line="240" w:lineRule="auto"/>
        <w:ind w:left="300" w:right="300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9F26DE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Кластер информационных технологий</w:t>
      </w:r>
    </w:p>
    <w:p w:rsidR="0026289E" w:rsidRDefault="009F26DE" w:rsidP="00ED02D9">
      <w:pPr>
        <w:pStyle w:val="a3"/>
      </w:pPr>
      <w:bookmarkStart w:id="0" w:name="_GoBack"/>
      <w:r>
        <w:t xml:space="preserve">Сибирский экономист. </w:t>
      </w:r>
      <w:bookmarkEnd w:id="0"/>
      <w:r>
        <w:t xml:space="preserve">- 2024. - </w:t>
      </w:r>
      <w:r>
        <w:rPr>
          <w:b/>
        </w:rPr>
        <w:t>28 марта</w:t>
      </w:r>
      <w:r>
        <w:t xml:space="preserve">. - </w:t>
      </w:r>
      <w:r>
        <w:rPr>
          <w:b/>
        </w:rPr>
        <w:t>URL:</w:t>
      </w:r>
      <w:r>
        <w:t xml:space="preserve"> </w:t>
      </w:r>
      <w:hyperlink r:id="rId10" w:history="1">
        <w:r>
          <w:rPr>
            <w:rStyle w:val="a4"/>
          </w:rPr>
          <w:t>https://sibmix.com/?p=10891</w:t>
        </w:r>
      </w:hyperlink>
    </w:p>
    <w:sectPr w:rsidR="0026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B3C85"/>
    <w:multiLevelType w:val="multilevel"/>
    <w:tmpl w:val="CFF0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B87324"/>
    <w:multiLevelType w:val="multilevel"/>
    <w:tmpl w:val="F496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CF5CE9"/>
    <w:multiLevelType w:val="multilevel"/>
    <w:tmpl w:val="1C1E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DE"/>
    <w:rsid w:val="0026289E"/>
    <w:rsid w:val="003A319C"/>
    <w:rsid w:val="003F2ACB"/>
    <w:rsid w:val="0073435D"/>
    <w:rsid w:val="00813039"/>
    <w:rsid w:val="008E045F"/>
    <w:rsid w:val="009F26DE"/>
    <w:rsid w:val="00A77786"/>
    <w:rsid w:val="00B975DF"/>
    <w:rsid w:val="00C23304"/>
    <w:rsid w:val="00D20588"/>
    <w:rsid w:val="00ED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3">
    <w:name w:val="heading 3"/>
    <w:basedOn w:val="a"/>
    <w:link w:val="30"/>
    <w:uiPriority w:val="9"/>
    <w:qFormat/>
    <w:rsid w:val="009F2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30">
    <w:name w:val="Заголовок 3 Знак"/>
    <w:basedOn w:val="a0"/>
    <w:link w:val="3"/>
    <w:uiPriority w:val="9"/>
    <w:rsid w:val="009F26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9F26DE"/>
    <w:rPr>
      <w:color w:val="0000FF"/>
      <w:u w:val="single"/>
    </w:rPr>
  </w:style>
  <w:style w:type="character" w:customStyle="1" w:styleId="primewp-entry-meta-single-author">
    <w:name w:val="primewp-entry-meta-single-author"/>
    <w:basedOn w:val="a0"/>
    <w:rsid w:val="009F26DE"/>
  </w:style>
  <w:style w:type="character" w:customStyle="1" w:styleId="author">
    <w:name w:val="author"/>
    <w:basedOn w:val="a0"/>
    <w:rsid w:val="009F26DE"/>
  </w:style>
  <w:style w:type="character" w:customStyle="1" w:styleId="primewp-entry-meta-single-date">
    <w:name w:val="primewp-entry-meta-single-date"/>
    <w:basedOn w:val="a0"/>
    <w:rsid w:val="009F26DE"/>
  </w:style>
  <w:style w:type="paragraph" w:styleId="a5">
    <w:name w:val="Normal (Web)"/>
    <w:basedOn w:val="a"/>
    <w:uiPriority w:val="99"/>
    <w:semiHidden/>
    <w:unhideWhenUsed/>
    <w:rsid w:val="009F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26DE"/>
    <w:rPr>
      <w:b/>
      <w:bCs/>
    </w:rPr>
  </w:style>
  <w:style w:type="character" w:styleId="a7">
    <w:name w:val="Emphasis"/>
    <w:basedOn w:val="a0"/>
    <w:uiPriority w:val="20"/>
    <w:qFormat/>
    <w:rsid w:val="009F26D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F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3">
    <w:name w:val="heading 3"/>
    <w:basedOn w:val="a"/>
    <w:link w:val="30"/>
    <w:uiPriority w:val="9"/>
    <w:qFormat/>
    <w:rsid w:val="009F2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30">
    <w:name w:val="Заголовок 3 Знак"/>
    <w:basedOn w:val="a0"/>
    <w:link w:val="3"/>
    <w:uiPriority w:val="9"/>
    <w:rsid w:val="009F26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9F26DE"/>
    <w:rPr>
      <w:color w:val="0000FF"/>
      <w:u w:val="single"/>
    </w:rPr>
  </w:style>
  <w:style w:type="character" w:customStyle="1" w:styleId="primewp-entry-meta-single-author">
    <w:name w:val="primewp-entry-meta-single-author"/>
    <w:basedOn w:val="a0"/>
    <w:rsid w:val="009F26DE"/>
  </w:style>
  <w:style w:type="character" w:customStyle="1" w:styleId="author">
    <w:name w:val="author"/>
    <w:basedOn w:val="a0"/>
    <w:rsid w:val="009F26DE"/>
  </w:style>
  <w:style w:type="character" w:customStyle="1" w:styleId="primewp-entry-meta-single-date">
    <w:name w:val="primewp-entry-meta-single-date"/>
    <w:basedOn w:val="a0"/>
    <w:rsid w:val="009F26DE"/>
  </w:style>
  <w:style w:type="paragraph" w:styleId="a5">
    <w:name w:val="Normal (Web)"/>
    <w:basedOn w:val="a"/>
    <w:uiPriority w:val="99"/>
    <w:semiHidden/>
    <w:unhideWhenUsed/>
    <w:rsid w:val="009F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26DE"/>
    <w:rPr>
      <w:b/>
      <w:bCs/>
    </w:rPr>
  </w:style>
  <w:style w:type="character" w:styleId="a7">
    <w:name w:val="Emphasis"/>
    <w:basedOn w:val="a0"/>
    <w:uiPriority w:val="20"/>
    <w:qFormat/>
    <w:rsid w:val="009F26D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F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051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single" w:sz="6" w:space="5" w:color="FFFFFF"/>
            <w:right w:val="none" w:sz="0" w:space="8" w:color="auto"/>
          </w:divBdr>
        </w:div>
        <w:div w:id="17711954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1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sibmix.com/?author=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bmix.com/?p=1089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bmix.com/?p=1089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2024-04-02T05:04:00Z</dcterms:created>
  <dcterms:modified xsi:type="dcterms:W3CDTF">2024-04-02T05:12:00Z</dcterms:modified>
</cp:coreProperties>
</file>